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Håbo kommunfullmäktige</w:t>
      </w:r>
    </w:p>
    <w:p>
      <w:pPr>
        <w:pStyle w:val="Heading1"/>
      </w:pPr>
      <w:r>
        <w:t xml:space="preserve">Effektivisering och ansvar för skattepengarna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Håbo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kostnader per invånare ligger över genomsnittet för liknande kommuner (Kolada). Verksamhetsöversyn saknas sedan 2022.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Håbo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en oberoende effektivitetsgranskning genomförs under 2026.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administrationskostnaderna ska minska med 5 % inom två år.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alla nämnder ska redovisa prioriteringslistor vid budgetarbete.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resultatmål kopplas till ekonomiska incitament för chefer.</w:t>
      </w:r>
    </w:p>
    <w:p>
      <w:pPr>
        <w:spacing w:before="360"/>
      </w:pPr>
    </w:p>
    <w:p>
      <w:r>
        <w:t xml:space="preserve">Håbo,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Håbo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2026-06-06T01:48:24.193Z</dcterms:created>
  <dcterms:modified xsi:type="dcterms:W3CDTF">2026-06-06T01:48:24.193Z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